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</w:pPr>
      <w:r>
        <w:rPr>
          <w:rFonts w:ascii="Arial" w:hAnsi="Arial" w:eastAsia="Arial"/>
          <w:b/>
          <w:i w:val="0"/>
          <w:color w:val="C8102E"/>
          <w:sz w:val="18"/>
        </w:rPr>
        <w:t>СОБСТВЕННИКУ ДЕЙСТВУЮЩЕГО ОБЪЕКТА</w:t>
      </w:r>
    </w:p>
    <w:p>
      <w:pPr>
        <w:spacing w:after="160"/>
      </w:pPr>
      <w:r>
        <w:rPr>
          <w:rFonts w:ascii="Arial" w:hAnsi="Arial" w:eastAsia="Arial"/>
          <w:b/>
          <w:i w:val="0"/>
          <w:color w:val="14181F"/>
          <w:sz w:val="52"/>
        </w:rPr>
        <w:t>Чек-лист передачи отеля оператору</w:t>
      </w:r>
    </w:p>
    <w:p>
      <w:pPr>
        <w:spacing w:after="360"/>
      </w:pPr>
      <w:r>
        <w:rPr>
          <w:rFonts w:ascii="Arial" w:hAnsi="Arial" w:eastAsia="Arial"/>
          <w:b w:val="0"/>
          <w:i w:val="0"/>
          <w:color w:val="656E7B"/>
          <w:sz w:val="26"/>
        </w:rPr>
        <w:t>Данные, договоры, люди, продажи, IT, имущество и контроль переходного периода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46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17"/>
              </w:rPr>
              <w:t>Формат</w:t>
              <w:br/>
            </w:r>
            <w:r>
              <w:rPr>
                <w:rFonts w:ascii="Arial" w:hAnsi="Arial" w:eastAsia="Arial"/>
                <w:b/>
                <w:i w:val="0"/>
                <w:color w:val="14181F"/>
                <w:sz w:val="21"/>
              </w:rPr>
              <w:t>редактируемый DOCX</w:t>
            </w:r>
          </w:p>
        </w:tc>
        <w:tc>
          <w:tcPr>
            <w:tcW w:type="dxa" w:w="46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17"/>
              </w:rPr>
              <w:t>Версия</w:t>
              <w:br/>
            </w:r>
            <w:r>
              <w:rPr>
                <w:rFonts w:ascii="Arial" w:hAnsi="Arial" w:eastAsia="Arial"/>
                <w:b/>
                <w:i w:val="0"/>
                <w:color w:val="14181F"/>
                <w:sz w:val="21"/>
              </w:rPr>
              <w:t>30 июля 2026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F7F8FA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1"/>
              </w:rPr>
              <w:t xml:space="preserve">Цель.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21"/>
              </w:rPr>
              <w:t>Передать управление без потери выручки, доступов, обязательств и управляемости. Заполняйте вместе с собственником, прежней командой и новым оператором; для каждой незакрытой позиции назначайте владельца и дату.</w:t>
            </w:r>
          </w:p>
        </w:tc>
      </w:tr>
    </w:tbl>
    <w:p>
      <w:pPr>
        <w:spacing w:after="0"/>
      </w:pPr>
    </w:p>
    <w:p>
      <w:r>
        <w:rPr>
          <w:rFonts w:ascii="Arial" w:hAnsi="Arial" w:eastAsia="Arial"/>
          <w:b w:val="0"/>
          <w:i w:val="0"/>
          <w:color w:val="3C4450"/>
          <w:sz w:val="21"/>
        </w:rPr>
        <w:t>Документ не заменяет юридическую, финансовую, кадровую, техническую или пожарную проверку. Состав актов и уведомлений зависит от структуры сделки, договоров и законодательства на дату перехода.</w:t>
      </w:r>
    </w:p>
    <w:p>
      <w:r>
        <w:br w:type="page"/>
      </w:r>
    </w:p>
    <w:p>
      <w:pPr>
        <w:pStyle w:val="Heading1"/>
      </w:pPr>
      <w:r>
        <w:t>1. Паспорт перехода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Объект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Название, адрес, юрлицо, номерной фонд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Собственник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Компания, представитель, полномочия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Текущая модель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Самостоятельно / оператор / аренда / франшиза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Новая модель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Управление / переходное управление / аренда / иной периметр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Контрольная дата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Дата перехода полномочий и операционного контроля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Период стабилизации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План D-60…D+90 и критерии завершения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Руководители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От собственника, прежней команды и нового оператора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Риск №1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Главная угроза непрерывности и план её закрытия</w:t>
            </w:r>
          </w:p>
        </w:tc>
      </w:tr>
    </w:tbl>
    <w:p>
      <w:pPr>
        <w:spacing w:after="0"/>
      </w:pPr>
    </w:p>
    <w:p>
      <w:pPr>
        <w:pStyle w:val="Heading1"/>
      </w:pPr>
      <w:r>
        <w:t>2. Периметр полномочий и экономика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050"/>
        <w:gridCol w:w="5310"/>
      </w:tblGrid>
      <w:tr>
        <w:trPr>
          <w:cantSplit/>
          <w:tblHeader w:val="true"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Проверка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Комментарий / ссылка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Модель договора выбрана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Управление / аренда / франшиза / переходный мандат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Полномочия и лимиты утверждены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Платежи, закупки, тарифы, найм, договоры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Вознаграждение определено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База, incentive, сборы, налоги, даты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Бюджет и business plan согласованы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Периоды, сценарии, CAPEX и оборотный капитал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Отчётность собственнику согласована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P&amp;L, cash, KPI, доступ к первичным данным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Процедура утверждения CAPEX определена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Лимиты, тендер, аварийные расходы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Условия прекращения и step-in описаны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Сроки, данные, доступы, имущество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Персональные данные и конфиденциальность учтены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Роли, основания, хранение, передача</w:t>
            </w:r>
          </w:p>
        </w:tc>
      </w:tr>
    </w:tbl>
    <w:p>
      <w:pPr>
        <w:spacing w:after="0"/>
      </w:pPr>
    </w:p>
    <w:p>
      <w:pPr>
        <w:pStyle w:val="Heading1"/>
      </w:pPr>
      <w:r>
        <w:t>3. Data room и финансовая сверка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600"/>
        <w:gridCol w:w="1200"/>
        <w:gridCol w:w="2760"/>
      </w:tblGrid>
      <w:tr>
        <w:trPr>
          <w:tblHeader w:val="true"/>
          <w:cantSplit/>
        </w:trPr>
        <w:tc>
          <w:tcPr>
            <w:tcW w:type="dxa" w:w="18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Блок</w:t>
            </w:r>
          </w:p>
        </w:tc>
        <w:tc>
          <w:tcPr>
            <w:tcW w:type="dxa" w:w="36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Что передать</w:t>
            </w:r>
          </w:p>
        </w:tc>
        <w:tc>
          <w:tcPr>
            <w:tcW w:type="dxa" w:w="12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Статус</w:t>
            </w:r>
          </w:p>
        </w:tc>
        <w:tc>
          <w:tcPr>
            <w:tcW w:type="dxa" w:w="276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Владелец / срок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Юридический</w:t>
            </w:r>
          </w:p>
        </w:tc>
        <w:tc>
          <w:tcPr>
            <w:tcW w:type="dxa" w:w="36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Права, лицензии, классификация, договоры</w:t>
            </w:r>
          </w:p>
        </w:tc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7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Финансовый</w:t>
            </w:r>
          </w:p>
        </w:tc>
        <w:tc>
          <w:tcPr>
            <w:tcW w:type="dxa" w:w="36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P&amp;L, cash, баланс, задолженность</w:t>
            </w:r>
          </w:p>
        </w:tc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7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Продажи</w:t>
            </w:r>
          </w:p>
        </w:tc>
        <w:tc>
          <w:tcPr>
            <w:tcW w:type="dxa" w:w="36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Брони, тарифы, договоры, депозиты</w:t>
            </w:r>
          </w:p>
        </w:tc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7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Закупки</w:t>
            </w:r>
          </w:p>
        </w:tc>
        <w:tc>
          <w:tcPr>
            <w:tcW w:type="dxa" w:w="36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Поставщики, цены, обязательства</w:t>
            </w:r>
          </w:p>
        </w:tc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7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Кадры</w:t>
            </w:r>
          </w:p>
        </w:tc>
        <w:tc>
          <w:tcPr>
            <w:tcW w:type="dxa" w:w="36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Штат, договоры, графики, долги</w:t>
            </w:r>
          </w:p>
        </w:tc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7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Имущество</w:t>
            </w:r>
          </w:p>
        </w:tc>
        <w:tc>
          <w:tcPr>
            <w:tcW w:type="dxa" w:w="36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Реестры, остатки, гарантии</w:t>
            </w:r>
          </w:p>
        </w:tc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7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IT</w:t>
            </w:r>
          </w:p>
        </w:tc>
        <w:tc>
          <w:tcPr>
            <w:tcW w:type="dxa" w:w="36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Системы, лицензии, интеграции, доступы</w:t>
            </w:r>
          </w:p>
        </w:tc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7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Инженерия</w:t>
            </w:r>
          </w:p>
        </w:tc>
        <w:tc>
          <w:tcPr>
            <w:tcW w:type="dxa" w:w="36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Паспорта, регламенты, аварии</w:t>
            </w:r>
          </w:p>
        </w:tc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7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Риски</w:t>
            </w:r>
          </w:p>
        </w:tc>
        <w:tc>
          <w:tcPr>
            <w:tcW w:type="dxa" w:w="36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Споры, проверки, претензии, инциденты</w:t>
            </w:r>
          </w:p>
        </w:tc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7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</w:tbl>
    <w:p>
      <w:pPr>
        <w:spacing w:after="0"/>
      </w:pP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050"/>
        <w:gridCol w:w="5310"/>
      </w:tblGrid>
      <w:tr>
        <w:trPr>
          <w:cantSplit/>
          <w:tblHeader w:val="true"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Проверка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Комментарий / ссылка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Остатки денежных средств сверены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Кассы, счета, эквайринг, депозиты гостей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Дебиторская и кредиторская задолженность сверена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Контрагент, срок, основание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Авансы и будущие обязательства сверены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Группы, мероприятия, сертификаты, возвраты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Закрывающий P&amp;L согласован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Период, cut-off, начисления, спорные суммы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Налоги и обязательные платежи распределены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До/после даты перехода</w:t>
            </w:r>
          </w:p>
        </w:tc>
      </w:tr>
    </w:tbl>
    <w:p>
      <w:pPr>
        <w:spacing w:after="0"/>
      </w:pPr>
    </w:p>
    <w:p>
      <w:pPr>
        <w:pStyle w:val="Heading1"/>
      </w:pPr>
      <w:r>
        <w:t>4. Гости, продажи и коммерческий контур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050"/>
        <w:gridCol w:w="5310"/>
      </w:tblGrid>
      <w:tr>
        <w:trPr>
          <w:cantSplit/>
          <w:tblHeader w:val="true"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Проверка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Комментарий / ссылка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Все будущие бронирования выгружены и сверены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Номер, гость, тариф, оплата, источник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Группы и мероприятия переданы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Договоры, меню, тайминг, ответственные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Договоры корпоративных клиентов переданы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Тарифы, квоты, задолженность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OTA и channel manager работают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Доступы, комиссии, реквизиты, parity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Сайт и booking engine переданы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Домен, CMS, аналитика, платежи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Тарифы и ограничения на дату перехода зафиксированы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BAR, MLOS, CTA/CTD, stop-sale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Репутационные каналы переданы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Карты, отзывы, ответы, бренд-профили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План коммуникации гостям готов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Что меняется и что остаётся неизменным</w:t>
            </w:r>
          </w:p>
        </w:tc>
      </w:tr>
    </w:tbl>
    <w:p>
      <w:pPr>
        <w:spacing w:after="0"/>
      </w:pPr>
    </w:p>
    <w:p>
      <w:pPr>
        <w:pStyle w:val="Heading1"/>
      </w:pPr>
      <w:r>
        <w:t>5. IT, данные и доступы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20"/>
        <w:gridCol w:w="1860"/>
        <w:gridCol w:w="1260"/>
        <w:gridCol w:w="1440"/>
        <w:gridCol w:w="2880"/>
      </w:tblGrid>
      <w:tr>
        <w:trPr>
          <w:tblHeader w:val="true"/>
          <w:cantSplit/>
        </w:trPr>
        <w:tc>
          <w:tcPr>
            <w:tcW w:type="dxa" w:w="192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Система</w:t>
            </w:r>
          </w:p>
        </w:tc>
        <w:tc>
          <w:tcPr>
            <w:tcW w:type="dxa" w:w="186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Администратор</w:t>
            </w:r>
          </w:p>
        </w:tc>
        <w:tc>
          <w:tcPr>
            <w:tcW w:type="dxa" w:w="126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Экспорт</w:t>
            </w:r>
          </w:p>
        </w:tc>
        <w:tc>
          <w:tcPr>
            <w:tcW w:type="dxa" w:w="144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Новый доступ</w:t>
            </w:r>
          </w:p>
        </w:tc>
        <w:tc>
          <w:tcPr>
            <w:tcW w:type="dxa" w:w="288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Проверка</w:t>
            </w:r>
          </w:p>
        </w:tc>
      </w:tr>
      <w:tr>
        <w:trPr>
          <w:cantSplit/>
        </w:trPr>
        <w:tc>
          <w:tcPr>
            <w:tcW w:type="dxa" w:w="19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PMS</w:t>
            </w:r>
          </w:p>
        </w:tc>
        <w:tc>
          <w:tcPr>
            <w:tcW w:type="dxa" w:w="18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8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9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Channel manager</w:t>
            </w:r>
          </w:p>
        </w:tc>
        <w:tc>
          <w:tcPr>
            <w:tcW w:type="dxa" w:w="18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8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9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Booking engine</w:t>
            </w:r>
          </w:p>
        </w:tc>
        <w:tc>
          <w:tcPr>
            <w:tcW w:type="dxa" w:w="18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8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9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CRM / loyalty</w:t>
            </w:r>
          </w:p>
        </w:tc>
        <w:tc>
          <w:tcPr>
            <w:tcW w:type="dxa" w:w="18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8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9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POS / ресторан</w:t>
            </w:r>
          </w:p>
        </w:tc>
        <w:tc>
          <w:tcPr>
            <w:tcW w:type="dxa" w:w="18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8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9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Бухгалтерия / ERP</w:t>
            </w:r>
          </w:p>
        </w:tc>
        <w:tc>
          <w:tcPr>
            <w:tcW w:type="dxa" w:w="18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8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9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Эквайринг / онлайн-кассы</w:t>
            </w:r>
          </w:p>
        </w:tc>
        <w:tc>
          <w:tcPr>
            <w:tcW w:type="dxa" w:w="18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8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9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СКУД / ключи / замки</w:t>
            </w:r>
          </w:p>
        </w:tc>
        <w:tc>
          <w:tcPr>
            <w:tcW w:type="dxa" w:w="18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8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9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BI / отчётность</w:t>
            </w:r>
          </w:p>
        </w:tc>
        <w:tc>
          <w:tcPr>
            <w:tcW w:type="dxa" w:w="18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8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9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Почта / домены / облако</w:t>
            </w:r>
          </w:p>
        </w:tc>
        <w:tc>
          <w:tcPr>
            <w:tcW w:type="dxa" w:w="18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28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F7F8FA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1"/>
              </w:rPr>
              <w:t xml:space="preserve">Безопасность.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21"/>
              </w:rPr>
              <w:t>Не передавайте пароли в самом чек-листе. Используйте менеджер секретов, выдавайте именные роли, включайте MFA и фиксируйте отзыв старых доступов после контрольного экспорта.</w:t>
            </w:r>
          </w:p>
        </w:tc>
      </w:tr>
    </w:tbl>
    <w:p>
      <w:pPr>
        <w:spacing w:after="0"/>
      </w:pPr>
    </w:p>
    <w:p>
      <w:pPr>
        <w:pStyle w:val="Heading1"/>
      </w:pPr>
      <w:r>
        <w:t>6. Команда и кадровая непрерывность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050"/>
        <w:gridCol w:w="5310"/>
      </w:tblGrid>
      <w:tr>
        <w:trPr>
          <w:cantSplit/>
          <w:tblHeader w:val="true"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Проверка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Комментарий / ссылка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Оргструктура и фактические роли сверены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Штат / совмещения / вакансии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Критические сотрудники определены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Удержание, замещение, передача знаний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Трудовые документы проверены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Договоры, графики, отпуска, задолженность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План коммуникации команде утверждён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Кто, когда и что сообщает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Новая матрица полномочий выдана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Деньги, закупки, тарифы, компенсации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Обучение системам и стандартам проведено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Список участников и проверка знаний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Дежурства на переходную ночь назначены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Фронт, IT, финансы, инженерия</w:t>
            </w:r>
          </w:p>
        </w:tc>
      </w:tr>
    </w:tbl>
    <w:p>
      <w:pPr>
        <w:spacing w:after="0"/>
      </w:pPr>
    </w:p>
    <w:p>
      <w:pPr>
        <w:pStyle w:val="Heading1"/>
      </w:pPr>
      <w:r>
        <w:t>7. Имущество, закупки и инженерия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050"/>
        <w:gridCol w:w="5310"/>
      </w:tblGrid>
      <w:tr>
        <w:trPr>
          <w:cantSplit/>
          <w:tblHeader w:val="true"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Проверка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Комментарий / ссылка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Инвентаризация имущества проведена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Основные средства, МБП, бельё, посуда, оборудование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Остатки складов сверены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Количество, качество, просрочка, ответственное хранение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Ключи и доступы к помещениям переданы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Реестр, пломбы, мастер-ключи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Поставщики и условия переданы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Цены, отсрочки, минимумы, контакт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Критические запасы обеспечены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Гостевые материалы, химия, бельё, продукты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Паспорта и регламенты оборудования собраны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Гарантии, сервис, графики ТО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Аварийные контакты и сценарии проверены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Электрика, вода, лифты, пожарная автоматика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Открытые дефекты внесены в реестр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Фото, приоритет, бюджет, владелец</w:t>
            </w:r>
          </w:p>
        </w:tc>
      </w:tr>
    </w:tbl>
    <w:p>
      <w:pPr>
        <w:spacing w:after="0"/>
      </w:pPr>
    </w:p>
    <w:p>
      <w:pPr>
        <w:pStyle w:val="Heading1"/>
      </w:pPr>
      <w:r>
        <w:t>8. Контрольный календарь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080"/>
        <w:gridCol w:w="3780"/>
      </w:tblGrid>
      <w:tr>
        <w:trPr>
          <w:tblHeader w:val="true"/>
          <w:cantSplit/>
        </w:trPr>
        <w:tc>
          <w:tcPr>
            <w:tcW w:type="dxa" w:w="15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Период</w:t>
            </w:r>
          </w:p>
        </w:tc>
        <w:tc>
          <w:tcPr>
            <w:tcW w:type="dxa" w:w="408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Главный результат</w:t>
            </w:r>
          </w:p>
        </w:tc>
        <w:tc>
          <w:tcPr>
            <w:tcW w:type="dxa" w:w="378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Критерий допуска</w:t>
            </w:r>
          </w:p>
        </w:tc>
      </w:tr>
      <w:tr>
        <w:trPr>
          <w:cantSplit/>
        </w:trPr>
        <w:tc>
          <w:tcPr>
            <w:tcW w:type="dxa" w:w="15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D-60…D-31</w:t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Периметр, аудит, data room, договор</w:t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Критические пробелы названы</w:t>
            </w:r>
          </w:p>
        </w:tc>
      </w:tr>
      <w:tr>
        <w:trPr>
          <w:cantSplit/>
        </w:trPr>
        <w:tc>
          <w:tcPr>
            <w:tcW w:type="dxa" w:w="15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D-30…D-8</w:t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Доступы, люди, поставщики, коммерческий план</w:t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Ответственные назначены</w:t>
            </w:r>
          </w:p>
        </w:tc>
      </w:tr>
      <w:tr>
        <w:trPr>
          <w:cantSplit/>
        </w:trPr>
        <w:tc>
          <w:tcPr>
            <w:tcW w:type="dxa" w:w="15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D-7…D-1</w:t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Сверка броней, денег, запасов, дежурств</w:t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Нет блокирующих расхождений</w:t>
            </w:r>
          </w:p>
        </w:tc>
      </w:tr>
      <w:tr>
        <w:trPr>
          <w:cantSplit/>
        </w:trPr>
        <w:tc>
          <w:tcPr>
            <w:tcW w:type="dxa" w:w="15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D0</w:t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Акты, cut-off, доступы, коммуникации</w:t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Непрерывность продаж и сервиса</w:t>
            </w:r>
          </w:p>
        </w:tc>
      </w:tr>
      <w:tr>
        <w:trPr>
          <w:cantSplit/>
        </w:trPr>
        <w:tc>
          <w:tcPr>
            <w:tcW w:type="dxa" w:w="15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D+1…D+30</w:t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Стабилизация, первая отчётность, закрытие хвостов</w:t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P&amp;L/cash/KPI воспроизводимы</w:t>
            </w:r>
          </w:p>
        </w:tc>
      </w:tr>
      <w:tr>
        <w:trPr>
          <w:cantSplit/>
        </w:trPr>
        <w:tc>
          <w:tcPr>
            <w:tcW w:type="dxa" w:w="15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D+31…D+90</w:t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План улучшений и базовая линия</w:t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Собственник принимает режим управления</w:t>
            </w:r>
          </w:p>
        </w:tc>
      </w:tr>
    </w:tbl>
    <w:p>
      <w:pPr>
        <w:spacing w:after="0"/>
      </w:pPr>
    </w:p>
    <w:p>
      <w:pPr>
        <w:pStyle w:val="Heading1"/>
      </w:pPr>
      <w:r>
        <w:t>9. Акт операционной передачи: контрольные строки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40"/>
        <w:gridCol w:w="1200"/>
        <w:gridCol w:w="3300"/>
        <w:gridCol w:w="2220"/>
      </w:tblGrid>
      <w:tr>
        <w:trPr>
          <w:tblHeader w:val="true"/>
          <w:cantSplit/>
        </w:trPr>
        <w:tc>
          <w:tcPr>
            <w:tcW w:type="dxa" w:w="264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Контроль</w:t>
            </w:r>
          </w:p>
        </w:tc>
        <w:tc>
          <w:tcPr>
            <w:tcW w:type="dxa" w:w="12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Сверено</w:t>
            </w:r>
          </w:p>
        </w:tc>
        <w:tc>
          <w:tcPr>
            <w:tcW w:type="dxa" w:w="33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Исключение / срок</w:t>
            </w:r>
          </w:p>
        </w:tc>
        <w:tc>
          <w:tcPr>
            <w:tcW w:type="dxa" w:w="222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Подпись роли</w:t>
            </w:r>
          </w:p>
        </w:tc>
      </w:tr>
      <w:tr>
        <w:trPr>
          <w:cantSplit/>
        </w:trPr>
        <w:tc>
          <w:tcPr>
            <w:tcW w:type="dxa" w:w="26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Деньги и обязательства</w:t>
            </w:r>
          </w:p>
        </w:tc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6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Будущие бронирования</w:t>
            </w:r>
          </w:p>
        </w:tc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6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Системы и доступы</w:t>
            </w:r>
          </w:p>
        </w:tc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6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Команда и графики</w:t>
            </w:r>
          </w:p>
        </w:tc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6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Имущество и запасы</w:t>
            </w:r>
          </w:p>
        </w:tc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6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Инженерия и безопасность</w:t>
            </w:r>
          </w:p>
        </w:tc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6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Поставщики и закупки</w:t>
            </w:r>
          </w:p>
        </w:tc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6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Отчётность собственнику</w:t>
            </w:r>
          </w:p>
        </w:tc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</w:tbl>
    <w:p>
      <w:pPr>
        <w:spacing w:after="0"/>
      </w:pPr>
    </w:p>
    <w:p>
      <w:pPr>
        <w:pStyle w:val="Heading1"/>
      </w:pPr>
      <w:r>
        <w:t>10. Решение о готовности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Статус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READY / READY WITH CONDITIONS / NOT READY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Блокеры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Что способно остановить переход или продажи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Условия допуска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Что должно быть закрыто до D0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Риски после D0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Что переносится в период стабилизации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Решение собственника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ФИО, роль, дата, подпись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Решение оператора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ФИО, роль, дата, подпись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1"/>
              </w:rPr>
              <w:t xml:space="preserve">Следующий шаг.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21"/>
              </w:rPr>
              <w:t>Если data room неполон или ответственность размыта, сначала проведите переходный аудит и соберите реестр расхождений. Raido Capital может взять на себя диагностику, план перехода и операционное управление объектом.</w:t>
            </w:r>
          </w:p>
        </w:tc>
      </w:tr>
    </w:tbl>
    <w:p>
      <w:pPr>
        <w:spacing w:after="0"/>
      </w:pPr>
    </w:p>
    <w:p>
      <w:pPr>
        <w:jc w:val="center"/>
      </w:pPr>
      <w:r>
        <w:rPr>
          <w:rFonts w:ascii="Arial" w:hAnsi="Arial" w:eastAsia="Arial"/>
          <w:b/>
          <w:i w:val="0"/>
          <w:color w:val="C8102E"/>
          <w:sz w:val="20"/>
        </w:rPr>
        <w:t>raidocapital.ru/services/upravlenie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440" w:bottom="1181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i w:val="0"/>
        <w:color w:val="656E7B"/>
        <w:sz w:val="16"/>
      </w:rPr>
      <w:t xml:space="preserve">raidocapital.ru  ·  </w:t>
    </w:r>
    <w:r>
      <w:rPr>
        <w:rFonts w:ascii="Arial" w:hAnsi="Arial" w:eastAsia="Arial"/>
        <w:b w:val="0"/>
        <w:i w:val="0"/>
        <w:color w:val="656E7B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rial" w:hAnsi="Arial" w:eastAsia="Arial"/>
        <w:b/>
        <w:i w:val="0"/>
        <w:color w:val="C8102E"/>
        <w:sz w:val="17"/>
      </w:rPr>
      <w:t>RAIDO CAPITAL</w:t>
    </w:r>
    <w:r>
      <w:rPr>
        <w:rFonts w:ascii="Arial" w:hAnsi="Arial" w:eastAsia="Arial"/>
        <w:b w:val="0"/>
        <w:i w:val="0"/>
        <w:color w:val="656E7B"/>
        <w:sz w:val="17"/>
      </w:rPr>
      <w:t xml:space="preserve">  /  рабочий шаблон для собственника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83" w:lineRule="auto"/>
    </w:pPr>
    <w:rPr>
      <w:rFonts w:ascii="Arial" w:hAnsi="Arial"/>
      <w:color w:val="3C445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14181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14181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4181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передачи отеля профессиональному оператору</dc:title>
  <dc:subject>Рабочий контроль перехода управления действующим гостиничным объектом</dc:subject>
  <dc:creator>Raido Capital</dc:creator>
  <cp:keywords>отель, гостиница, инвестор, оператор, банк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