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widowControl/>
        <w:spacing w:before="0" w:after="100" w:line="240" w:lineRule="auto"/>
      </w:pPr>
      <w:r>
        <w:rPr>
          <w:rFonts w:ascii="Calibri" w:hAnsi="Calibri" w:eastAsia="Calibri" w:cs="Calibri"/>
          <w:b/>
          <w:i w:val="0"/>
          <w:color w:val="C8102E"/>
          <w:sz w:val="18"/>
        </w:rPr>
        <w:t>РАБОЧИЙ МАТЕРИАЛ ДЛЯ ИНВЕСТОРА И СОБСТВЕННИКА</w:t>
      </w:r>
    </w:p>
    <w:p>
      <w:pPr>
        <w:keepNext/>
        <w:widowControl/>
        <w:spacing w:before="0" w:after="140" w:line="240" w:lineRule="auto"/>
      </w:pPr>
      <w:r>
        <w:rPr>
          <w:rFonts w:ascii="Calibri" w:hAnsi="Calibri" w:eastAsia="Calibri" w:cs="Calibri"/>
          <w:b/>
          <w:i w:val="0"/>
          <w:color w:val="0B2545"/>
          <w:sz w:val="56"/>
        </w:rPr>
        <w:t>Чек-лист открытия гостиницы</w:t>
      </w:r>
    </w:p>
    <w:p>
      <w:pPr>
        <w:keepNext/>
        <w:widowControl/>
        <w:spacing w:before="0" w:after="360" w:line="288" w:lineRule="auto"/>
      </w:pPr>
      <w:r>
        <w:rPr>
          <w:rFonts w:ascii="Calibri" w:hAnsi="Calibri" w:eastAsia="Calibri" w:cs="Calibri"/>
          <w:b w:val="0"/>
          <w:i w:val="0"/>
          <w:color w:val="5E6670"/>
          <w:sz w:val="26"/>
        </w:rPr>
        <w:t>От инвестиционной задачи и проверки объекта до пробных заездов и передачи в управление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40" w:type="dxa"/>
        <w:tblLayout w:type="fixed"/>
      </w:tblPr>
      <w:tblGrid>
        <w:gridCol w:w="1875"/>
        <w:gridCol w:w="7485"/>
      </w:tblGrid>
      <w:tr>
        <w:trPr>
          <w:tblHeader w:val="true"/>
        </w:trPr>
        <w:tc>
          <w:tcPr>
            <w:tcW w:type="dxa" w:w="1875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E8EEF5"/>
          </w:tcPr>
          <w:p>
            <w:pPr>
              <w:keepNext w:val="0"/>
              <w:widowControl/>
              <w:spacing w:before="0" w:after="0" w:line="264" w:lineRule="auto"/>
            </w:pPr>
            <w:r>
              <w:rPr>
                <w:rFonts w:ascii="Calibri" w:hAnsi="Calibri" w:eastAsia="Calibri" w:cs="Calibri"/>
                <w:b/>
                <w:i w:val="0"/>
                <w:color w:val="0B2545"/>
                <w:sz w:val="19"/>
              </w:rPr>
              <w:t>Параметр</w:t>
            </w:r>
          </w:p>
        </w:tc>
        <w:tc>
          <w:tcPr>
            <w:tcW w:type="dxa" w:w="7485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E8EEF5"/>
          </w:tcPr>
          <w:p>
            <w:pPr>
              <w:keepNext w:val="0"/>
              <w:widowControl/>
              <w:spacing w:before="0" w:after="0" w:line="264" w:lineRule="auto"/>
            </w:pPr>
            <w:r>
              <w:rPr>
                <w:rFonts w:ascii="Calibri" w:hAnsi="Calibri" w:eastAsia="Calibri" w:cs="Calibri"/>
                <w:b/>
                <w:i w:val="0"/>
                <w:color w:val="0B2545"/>
                <w:sz w:val="19"/>
              </w:rPr>
              <w:t>Значение</w:t>
            </w:r>
          </w:p>
        </w:tc>
      </w:tr>
      <w:tr>
        <w:tc>
          <w:tcPr>
            <w:tcW w:type="dxa" w:w="1875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E8EEF5"/>
          </w:tcPr>
          <w:p>
            <w:pPr>
              <w:keepNext w:val="0"/>
              <w:widowControl/>
              <w:spacing w:before="0" w:after="0" w:line="264" w:lineRule="auto"/>
            </w:pPr>
            <w:r>
              <w:rPr>
                <w:rFonts w:ascii="Calibri" w:hAnsi="Calibri" w:eastAsia="Calibri" w:cs="Calibri"/>
                <w:b/>
                <w:i w:val="0"/>
                <w:color w:val="0B2545"/>
                <w:sz w:val="19"/>
              </w:rPr>
              <w:t>Версия</w:t>
            </w:r>
          </w:p>
        </w:tc>
        <w:tc>
          <w:tcPr>
            <w:tcW w:type="dxa" w:w="7485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9"/>
          </w:tcPr>
          <w:p>
            <w:pPr>
              <w:keepNext w:val="0"/>
              <w:widowControl/>
              <w:spacing w:before="0" w:after="0" w:line="264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20262D"/>
                <w:sz w:val="19"/>
              </w:rPr>
              <w:t>30 июля 2026</w:t>
            </w:r>
          </w:p>
        </w:tc>
      </w:tr>
      <w:tr>
        <w:tc>
          <w:tcPr>
            <w:tcW w:type="dxa" w:w="1875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E8EEF5"/>
          </w:tcPr>
          <w:p>
            <w:pPr>
              <w:keepNext w:val="0"/>
              <w:widowControl/>
              <w:spacing w:before="0" w:after="0" w:line="264" w:lineRule="auto"/>
            </w:pPr>
            <w:r>
              <w:rPr>
                <w:rFonts w:ascii="Calibri" w:hAnsi="Calibri" w:eastAsia="Calibri" w:cs="Calibri"/>
                <w:b/>
                <w:i w:val="0"/>
                <w:color w:val="0B2545"/>
                <w:sz w:val="19"/>
              </w:rPr>
              <w:t>Применение</w:t>
            </w:r>
          </w:p>
        </w:tc>
        <w:tc>
          <w:tcPr>
            <w:tcW w:type="dxa" w:w="7485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9"/>
          </w:tcPr>
          <w:p>
            <w:pPr>
              <w:keepNext w:val="0"/>
              <w:widowControl/>
              <w:spacing w:before="0" w:after="0" w:line="264" w:lineRule="auto"/>
            </w:pPr>
            <w:r>
              <w:rPr>
                <w:rFonts w:ascii="Calibri" w:hAnsi="Calibri" w:eastAsia="Calibri" w:cs="Calibri"/>
                <w:b w:val="0"/>
                <w:i w:val="0"/>
                <w:color w:val="20262D"/>
                <w:sz w:val="19"/>
              </w:rPr>
              <w:t>Гостиничный проект в России; требования перепроверяются по объекту и дате</w:t>
            </w:r>
          </w:p>
        </w:tc>
      </w:tr>
    </w:tbl>
    <w:p>
      <w:pPr>
        <w:keepNext w:val="0"/>
        <w:widowControl/>
        <w:spacing w:before="0" w:after="80" w:line="240" w:lineRule="auto"/>
      </w:pPr>
      <w:r>
        <w:rPr>
          <w:rFonts w:ascii="Calibri" w:hAnsi="Calibri" w:eastAsia="Calibri" w:cs="Calibri"/>
          <w:b w:val="0"/>
          <w:i w:val="0"/>
          <w:color w:val="20262D"/>
          <w:sz w:val="8"/>
        </w:rPr>
      </w:r>
    </w:p>
    <w:p>
      <w:pPr>
        <w:keepNext w:val="0"/>
        <w:widowControl/>
        <w:spacing w:before="80" w:after="160" w:line="288" w:lineRule="auto"/>
        <w:ind w:left="259" w:right="115"/>
        <w:shd w:fill="F7E7EA"/>
        <w:pBdr>
          <w:left w:val="single" w:sz="18" w:space="6" w:color="C8102E"/>
        </w:pBdr>
      </w:pPr>
      <w:r>
        <w:rPr>
          <w:rFonts w:ascii="Calibri" w:hAnsi="Calibri" w:eastAsia="Calibri" w:cs="Calibri"/>
          <w:b/>
          <w:i w:val="0"/>
          <w:color w:val="0B2545"/>
          <w:sz w:val="21"/>
        </w:rPr>
        <w:t xml:space="preserve">Важно. </w:t>
      </w:r>
      <w:r>
        <w:rPr>
          <w:rFonts w:ascii="Calibri" w:hAnsi="Calibri" w:eastAsia="Calibri" w:cs="Calibri"/>
          <w:b w:val="0"/>
          <w:i w:val="0"/>
          <w:color w:val="20262D"/>
          <w:sz w:val="21"/>
        </w:rPr>
        <w:t>Это рабочая карта проекта, а не исчерпывающий юридический перечень. Применимость разрешений, уведомлений, классификации, проектных и иных требований определяют профильные специалисты по конкретному объекту и актуальной редакции норм.</w:t>
      </w:r>
    </w:p>
    <w:p>
      <w:pPr>
        <w:pStyle w:val="Heading1"/>
        <w:pageBreakBefore w:val="0"/>
      </w:pPr>
      <w:r>
        <w:t>Как пользоваться чек-листом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Для каждого пункта назначьте владельца, срок и доказательство выполнения: документ, ссылку, протокол, расчёт или акт.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Не отмечайте гипотезу как факт. Если данных нет, фиксируйте допущение, риск и действие для проверки.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После каждого этапа принимайте решение: продолжать, изменить параметры или остановить проект до следующего крупного расхода.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Проверяйте документ заново после изменения объекта, формата, планировок, финансирования или оператора.</w:t>
      </w:r>
    </w:p>
    <w:p>
      <w:pPr>
        <w:pStyle w:val="Heading2"/>
        <w:pageBreakBefore w:val="0"/>
      </w:pPr>
      <w:r>
        <w:t>Контрольная карточка проекта</w:t>
      </w:r>
    </w:p>
    <w:p>
      <w:pPr>
        <w:keepNext w:val="0"/>
        <w:widowControl/>
        <w:spacing w:before="0" w:after="140" w:line="300" w:lineRule="auto"/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Объект / адрес: ________________________________________________</w:t>
      </w:r>
    </w:p>
    <w:p>
      <w:pPr>
        <w:keepNext w:val="0"/>
        <w:widowControl/>
        <w:spacing w:before="0" w:after="140" w:line="300" w:lineRule="auto"/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Инициатор и владелец решения: __________________________________</w:t>
      </w:r>
    </w:p>
    <w:p>
      <w:pPr>
        <w:keepNext w:val="0"/>
        <w:widowControl/>
        <w:spacing w:before="0" w:after="140" w:line="300" w:lineRule="auto"/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Текущая стадия: _______________________________________________</w:t>
      </w:r>
    </w:p>
    <w:p>
      <w:pPr>
        <w:keepNext w:val="0"/>
        <w:widowControl/>
        <w:spacing w:before="0" w:after="140" w:line="300" w:lineRule="auto"/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Следующие ворота решения и дата: ________________________________</w:t>
      </w:r>
    </w:p>
    <w:p>
      <w:pPr>
        <w:keepNext w:val="0"/>
        <w:widowControl/>
        <w:spacing w:before="0" w:after="140" w:line="300" w:lineRule="auto"/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Ссылка на реестр исходных данных: _______________________________</w:t>
      </w:r>
    </w:p>
    <w:p>
      <w:r>
        <w:br w:type="page"/>
      </w:r>
    </w:p>
    <w:p>
      <w:pPr>
        <w:keepNext/>
        <w:widowControl/>
        <w:spacing w:before="0" w:after="100" w:line="240" w:lineRule="auto"/>
      </w:pPr>
      <w:r>
        <w:rPr>
          <w:rFonts w:ascii="Calibri" w:hAnsi="Calibri" w:eastAsia="Calibri" w:cs="Calibri"/>
          <w:b/>
          <w:i w:val="0"/>
          <w:color w:val="C8102E"/>
          <w:sz w:val="18"/>
        </w:rPr>
        <w:t>ЭТАП 01</w:t>
      </w:r>
    </w:p>
    <w:p>
      <w:pPr>
        <w:pStyle w:val="Heading1"/>
        <w:pageBreakBefore w:val="0"/>
      </w:pPr>
      <w:r>
        <w:t>Инвестиционная задача и критерии Go / No-Go</w:t>
      </w:r>
    </w:p>
    <w:p>
      <w:pPr>
        <w:keepNext w:val="0"/>
        <w:widowControl/>
        <w:spacing w:before="0" w:after="180" w:line="300" w:lineRule="auto"/>
      </w:pPr>
      <w:r>
        <w:rPr>
          <w:rFonts w:ascii="Calibri" w:hAnsi="Calibri" w:eastAsia="Calibri" w:cs="Calibri"/>
          <w:b w:val="0"/>
          <w:i/>
          <w:color w:val="5E6670"/>
          <w:sz w:val="21"/>
        </w:rPr>
        <w:t>Не начинать крупные расходы, пока не определено, какое решение должен подтвердить проект.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Зафиксировать роль инициатора: собственник объекта, инвестор, девелопер или будущий оператор.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Описать формат вложения: покупка, аренда, реконструкция, новое строительство или управление готовым объектом.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Определить рынок, целевого гостя, предполагаемый формат и диапазон номерного фонда как проверяемые гипотезы.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Записать ограничения по общему бюджету, срокам, доле заёмных средств и допустимому риску.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Сформулировать критерии остановки проекта до выбора дизайна, бренда и подрядчиков.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Назначить владельца решения и единый реестр исходных данных, допущений и версий документов.</w:t>
      </w:r>
    </w:p>
    <w:p>
      <w:pPr>
        <w:keepNext w:val="0"/>
        <w:widowControl/>
        <w:spacing w:before="80" w:after="160" w:line="288" w:lineRule="auto"/>
        <w:ind w:left="259" w:right="115"/>
        <w:shd w:fill="F4F6F9"/>
        <w:pBdr>
          <w:left w:val="single" w:sz="18" w:space="6" w:color="2E74B5"/>
        </w:pBdr>
      </w:pPr>
      <w:r>
        <w:rPr>
          <w:rFonts w:ascii="Calibri" w:hAnsi="Calibri" w:eastAsia="Calibri" w:cs="Calibri"/>
          <w:b/>
          <w:i w:val="0"/>
          <w:color w:val="0B2545"/>
          <w:sz w:val="21"/>
        </w:rPr>
        <w:t xml:space="preserve">Результат этапа. </w:t>
      </w:r>
      <w:r>
        <w:rPr>
          <w:rFonts w:ascii="Calibri" w:hAnsi="Calibri" w:eastAsia="Calibri" w:cs="Calibri"/>
          <w:b w:val="0"/>
          <w:i w:val="0"/>
          <w:color w:val="20262D"/>
          <w:sz w:val="21"/>
        </w:rPr>
        <w:t>Краткий инвестиционный мандат: задача, границы, критерии продолжения и ответственный за решение.</w:t>
      </w:r>
    </w:p>
    <w:p>
      <w:pPr>
        <w:keepNext/>
        <w:widowControl/>
        <w:spacing w:before="0" w:after="100" w:line="240" w:lineRule="auto"/>
      </w:pPr>
      <w:r>
        <w:rPr>
          <w:rFonts w:ascii="Calibri" w:hAnsi="Calibri" w:eastAsia="Calibri" w:cs="Calibri"/>
          <w:b/>
          <w:i w:val="0"/>
          <w:color w:val="C8102E"/>
          <w:sz w:val="18"/>
        </w:rPr>
        <w:t>ЭТАП 02</w:t>
      </w:r>
    </w:p>
    <w:p>
      <w:pPr>
        <w:pStyle w:val="Heading1"/>
        <w:pageBreakBefore w:val="0"/>
      </w:pPr>
      <w:r>
        <w:t>Объект, права и ограничения</w:t>
      </w:r>
    </w:p>
    <w:p>
      <w:pPr>
        <w:keepNext w:val="0"/>
        <w:widowControl/>
        <w:spacing w:before="0" w:after="180" w:line="300" w:lineRule="auto"/>
      </w:pPr>
      <w:r>
        <w:rPr>
          <w:rFonts w:ascii="Calibri" w:hAnsi="Calibri" w:eastAsia="Calibri" w:cs="Calibri"/>
          <w:b w:val="0"/>
          <w:i/>
          <w:color w:val="5E6670"/>
          <w:sz w:val="21"/>
        </w:rPr>
        <w:t>Понять, допустим ли гостиничный сценарий и какие ограничения влияют на планировки, сроки и вложения.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Собрать адрес, кадастровый номер, поэтажные планы, площади, этажность и сведения о текущем использовании.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Проверить правоустанавливающие документы, обременения, границы ответственности и срок владения или аренды.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Получить применимые градостроительные и земельные исходные данные, включая ограничения территории.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Проверить статус объекта культурного наследия, зоны охраны и предмет охраны, если они применимы.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Заказать обследования и обмеры в глубине, достаточной для текущей стадии решения.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Зафиксировать доступные мощности и ограничения инженерных систем, подъезды, эвакуацию и логистику обслуживания.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Отдельно перечислить неизвестные данные, которые могут изменить номерной фонд или бюджет.</w:t>
      </w:r>
    </w:p>
    <w:p>
      <w:pPr>
        <w:keepNext w:val="0"/>
        <w:widowControl/>
        <w:spacing w:before="80" w:after="160" w:line="288" w:lineRule="auto"/>
        <w:ind w:left="259" w:right="115"/>
        <w:shd w:fill="F4F6F9"/>
        <w:pBdr>
          <w:left w:val="single" w:sz="18" w:space="6" w:color="2E74B5"/>
        </w:pBdr>
      </w:pPr>
      <w:r>
        <w:rPr>
          <w:rFonts w:ascii="Calibri" w:hAnsi="Calibri" w:eastAsia="Calibri" w:cs="Calibri"/>
          <w:b/>
          <w:i w:val="0"/>
          <w:color w:val="0B2545"/>
          <w:sz w:val="21"/>
        </w:rPr>
        <w:t xml:space="preserve">Результат этапа. </w:t>
      </w:r>
      <w:r>
        <w:rPr>
          <w:rFonts w:ascii="Calibri" w:hAnsi="Calibri" w:eastAsia="Calibri" w:cs="Calibri"/>
          <w:b w:val="0"/>
          <w:i w:val="0"/>
          <w:color w:val="20262D"/>
          <w:sz w:val="21"/>
        </w:rPr>
        <w:t>Паспорт объекта и карта ограничений с источником, датой, ответственным и влиянием на проект.</w:t>
      </w:r>
    </w:p>
    <w:p>
      <w:pPr>
        <w:keepNext/>
        <w:widowControl/>
        <w:spacing w:before="0" w:after="100" w:line="240" w:lineRule="auto"/>
      </w:pPr>
      <w:r>
        <w:rPr>
          <w:rFonts w:ascii="Calibri" w:hAnsi="Calibri" w:eastAsia="Calibri" w:cs="Calibri"/>
          <w:b/>
          <w:i w:val="0"/>
          <w:color w:val="C8102E"/>
          <w:sz w:val="18"/>
        </w:rPr>
        <w:t>ЭТАП 03</w:t>
      </w:r>
    </w:p>
    <w:p>
      <w:pPr>
        <w:pStyle w:val="Heading1"/>
        <w:pageBreakBefore w:val="0"/>
      </w:pPr>
      <w:r>
        <w:t>Рынок, формат и гостиничная программа</w:t>
      </w:r>
    </w:p>
    <w:p>
      <w:pPr>
        <w:keepNext w:val="0"/>
        <w:widowControl/>
        <w:spacing w:before="0" w:after="180" w:line="300" w:lineRule="auto"/>
      </w:pPr>
      <w:r>
        <w:rPr>
          <w:rFonts w:ascii="Calibri" w:hAnsi="Calibri" w:eastAsia="Calibri" w:cs="Calibri"/>
          <w:b w:val="0"/>
          <w:i/>
          <w:color w:val="5E6670"/>
          <w:sz w:val="21"/>
        </w:rPr>
        <w:t>Связать реальный спрос с продуктом и продаваемым номерным фондом, а не копировать чужой отель.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Определить источники спроса по сезонам, дням недели и целям поездки.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Собрать сопоставимые объекты и для каждого зафиксировать источник, дату и границы сравнения.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Проверить позиционирование, типологию номеров, общественные функции и дополнительные источники выручки.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Рассчитать предварительный номерной фонд с учётом служебных, технических и общественных зон.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Описать путь гостя, персонала, белья, отходов, поставок и обслуживания номеров.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Согласовать формат управления и требования будущего оператора до детального проектирования.</w:t>
      </w:r>
    </w:p>
    <w:p>
      <w:pPr>
        <w:keepNext w:val="0"/>
        <w:widowControl/>
        <w:spacing w:before="80" w:after="160" w:line="288" w:lineRule="auto"/>
        <w:ind w:left="259" w:right="115"/>
        <w:shd w:fill="F4F6F9"/>
        <w:pBdr>
          <w:left w:val="single" w:sz="18" w:space="6" w:color="2E74B5"/>
        </w:pBdr>
      </w:pPr>
      <w:r>
        <w:rPr>
          <w:rFonts w:ascii="Calibri" w:hAnsi="Calibri" w:eastAsia="Calibri" w:cs="Calibri"/>
          <w:b/>
          <w:i w:val="0"/>
          <w:color w:val="0B2545"/>
          <w:sz w:val="21"/>
        </w:rPr>
        <w:t xml:space="preserve">Результат этапа. </w:t>
      </w:r>
      <w:r>
        <w:rPr>
          <w:rFonts w:ascii="Calibri" w:hAnsi="Calibri" w:eastAsia="Calibri" w:cs="Calibri"/>
          <w:b w:val="0"/>
          <w:i w:val="0"/>
          <w:color w:val="20262D"/>
          <w:sz w:val="21"/>
        </w:rPr>
        <w:t>Концепция и гостиничная программа, которые можно одновременно передать проектировщику и финансовому аналитику.</w:t>
      </w:r>
    </w:p>
    <w:p>
      <w:pPr>
        <w:keepNext/>
        <w:widowControl/>
        <w:spacing w:before="0" w:after="100" w:line="240" w:lineRule="auto"/>
      </w:pPr>
      <w:r>
        <w:rPr>
          <w:rFonts w:ascii="Calibri" w:hAnsi="Calibri" w:eastAsia="Calibri" w:cs="Calibri"/>
          <w:b/>
          <w:i w:val="0"/>
          <w:color w:val="C8102E"/>
          <w:sz w:val="18"/>
        </w:rPr>
        <w:t>ЭТАП 04</w:t>
      </w:r>
    </w:p>
    <w:p>
      <w:pPr>
        <w:pStyle w:val="Heading1"/>
        <w:pageBreakBefore w:val="0"/>
      </w:pPr>
      <w:r>
        <w:t>Финансовая модель, бюджет и график</w:t>
      </w:r>
    </w:p>
    <w:p>
      <w:pPr>
        <w:keepNext w:val="0"/>
        <w:widowControl/>
        <w:spacing w:before="0" w:after="180" w:line="300" w:lineRule="auto"/>
      </w:pPr>
      <w:r>
        <w:rPr>
          <w:rFonts w:ascii="Calibri" w:hAnsi="Calibri" w:eastAsia="Calibri" w:cs="Calibri"/>
          <w:b w:val="0"/>
          <w:i/>
          <w:color w:val="5E6670"/>
          <w:sz w:val="21"/>
        </w:rPr>
        <w:t>Проверить весь денежный маршрут до устойчивой эксплуатации, а не только выручку высокого сезона.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Собрать доходы по сегментам и отделить выручку номерного фонда от прочих подразделений.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Зафиксировать загрузку, ADR, RevPAR и сезонность как допущения с источниками и датами.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Собрать операционные, собственнические и предэксплуатационные расходы раздельно.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Включить приобретение или аренду, проектирование, стройку, оснащение, подключения, резерв и оборотные средства.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Связать график вложений с проектированием, согласованиями, стройкой, поставками и подготовкой к открытию.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Построить минимум базовый и негативный сценарии; проверить чувствительность к цене, загрузке, срокам и CAPEX.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Отдельно проверить долг, налоги, ковенанты и денежный запас с профильными специалистами и кредитором.</w:t>
      </w:r>
    </w:p>
    <w:p>
      <w:pPr>
        <w:keepNext w:val="0"/>
        <w:widowControl/>
        <w:spacing w:before="80" w:after="160" w:line="288" w:lineRule="auto"/>
        <w:ind w:left="259" w:right="115"/>
        <w:shd w:fill="F4F6F9"/>
        <w:pBdr>
          <w:left w:val="single" w:sz="18" w:space="6" w:color="2E74B5"/>
        </w:pBdr>
      </w:pPr>
      <w:r>
        <w:rPr>
          <w:rFonts w:ascii="Calibri" w:hAnsi="Calibri" w:eastAsia="Calibri" w:cs="Calibri"/>
          <w:b/>
          <w:i w:val="0"/>
          <w:color w:val="0B2545"/>
          <w:sz w:val="21"/>
        </w:rPr>
        <w:t xml:space="preserve">Результат этапа. </w:t>
      </w:r>
      <w:r>
        <w:rPr>
          <w:rFonts w:ascii="Calibri" w:hAnsi="Calibri" w:eastAsia="Calibri" w:cs="Calibri"/>
          <w:b w:val="0"/>
          <w:i w:val="0"/>
          <w:color w:val="20262D"/>
          <w:sz w:val="21"/>
        </w:rPr>
        <w:t>Версионная финансовая модель и календарь финансирования с видимыми фактами, допущениями и стресс-сценарием.</w:t>
      </w:r>
    </w:p>
    <w:p>
      <w:pPr>
        <w:keepNext/>
        <w:widowControl/>
        <w:spacing w:before="0" w:after="100" w:line="240" w:lineRule="auto"/>
      </w:pPr>
      <w:r>
        <w:rPr>
          <w:rFonts w:ascii="Calibri" w:hAnsi="Calibri" w:eastAsia="Calibri" w:cs="Calibri"/>
          <w:b/>
          <w:i w:val="0"/>
          <w:color w:val="C8102E"/>
          <w:sz w:val="18"/>
        </w:rPr>
        <w:t>ЭТАП 05</w:t>
      </w:r>
    </w:p>
    <w:p>
      <w:pPr>
        <w:pStyle w:val="Heading1"/>
        <w:pageBreakBefore w:val="0"/>
      </w:pPr>
      <w:r>
        <w:t>Проектирование, стройка и комплектация</w:t>
      </w:r>
    </w:p>
    <w:p>
      <w:pPr>
        <w:keepNext w:val="0"/>
        <w:widowControl/>
        <w:spacing w:before="0" w:after="180" w:line="300" w:lineRule="auto"/>
      </w:pPr>
      <w:r>
        <w:rPr>
          <w:rFonts w:ascii="Calibri" w:hAnsi="Calibri" w:eastAsia="Calibri" w:cs="Calibri"/>
          <w:b w:val="0"/>
          <w:i/>
          <w:color w:val="5E6670"/>
          <w:sz w:val="21"/>
        </w:rPr>
        <w:t>Сохранить гостиничную и финансовую логику в проектных решениях и изменениях на стройке.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Передать проектировщикам гостиничное техническое задание и назначить владельца его актуальной версии.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Проверять планировки, типовой номер, служебные зоны, доступность, потоки и эксплуатационные сценарии.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Согласовать применимый состав проектной документации, экспертиз и разрешительных процедур.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Связать изменения проекта с номерным фондом, CAPEX, сроками, будущими расходами и выручкой.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Утвердить образцы отделки, мебели и оборудования до массовой закупки.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Вести реестр замечаний, доказательств устранения, исполнительной документации и гарантий.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Проверить готовность объекта к обслуживанию после открытия: доступ к инженерии, ремонту и поставкам.</w:t>
      </w:r>
    </w:p>
    <w:p>
      <w:pPr>
        <w:keepNext w:val="0"/>
        <w:widowControl/>
        <w:spacing w:before="80" w:after="160" w:line="288" w:lineRule="auto"/>
        <w:ind w:left="259" w:right="115"/>
        <w:shd w:fill="F4F6F9"/>
        <w:pBdr>
          <w:left w:val="single" w:sz="18" w:space="6" w:color="2E74B5"/>
        </w:pBdr>
      </w:pPr>
      <w:r>
        <w:rPr>
          <w:rFonts w:ascii="Calibri" w:hAnsi="Calibri" w:eastAsia="Calibri" w:cs="Calibri"/>
          <w:b/>
          <w:i w:val="0"/>
          <w:color w:val="0B2545"/>
          <w:sz w:val="21"/>
        </w:rPr>
        <w:t xml:space="preserve">Результат этапа. </w:t>
      </w:r>
      <w:r>
        <w:rPr>
          <w:rFonts w:ascii="Calibri" w:hAnsi="Calibri" w:eastAsia="Calibri" w:cs="Calibri"/>
          <w:b w:val="0"/>
          <w:i w:val="0"/>
          <w:color w:val="20262D"/>
          <w:sz w:val="21"/>
        </w:rPr>
        <w:t>Согласованный проект, реестр изменений и комплект приёмки, пригодный для передачи предэксплуатационной команде.</w:t>
      </w:r>
    </w:p>
    <w:p>
      <w:pPr>
        <w:keepNext/>
        <w:widowControl/>
        <w:spacing w:before="0" w:after="100" w:line="240" w:lineRule="auto"/>
      </w:pPr>
      <w:r>
        <w:rPr>
          <w:rFonts w:ascii="Calibri" w:hAnsi="Calibri" w:eastAsia="Calibri" w:cs="Calibri"/>
          <w:b/>
          <w:i w:val="0"/>
          <w:color w:val="C8102E"/>
          <w:sz w:val="18"/>
        </w:rPr>
        <w:t>ЭТАП 06</w:t>
      </w:r>
    </w:p>
    <w:p>
      <w:pPr>
        <w:pStyle w:val="Heading1"/>
        <w:pageBreakBefore w:val="0"/>
      </w:pPr>
      <w:r>
        <w:t>Обязательные контуры перед оказанием услуг</w:t>
      </w:r>
    </w:p>
    <w:p>
      <w:pPr>
        <w:keepNext w:val="0"/>
        <w:widowControl/>
        <w:spacing w:before="0" w:after="180" w:line="300" w:lineRule="auto"/>
      </w:pPr>
      <w:r>
        <w:rPr>
          <w:rFonts w:ascii="Calibri" w:hAnsi="Calibri" w:eastAsia="Calibri" w:cs="Calibri"/>
          <w:b w:val="0"/>
          <w:i/>
          <w:color w:val="5E6670"/>
          <w:sz w:val="21"/>
        </w:rPr>
        <w:t>Не подменять юридическую и техническую проверку универсальным списком документов из интернета.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Проверить государственную регистрацию бизнеса, применимые виды деятельности, налоговый режим и кассовую схему.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Проверить актуальный порядок классификации, включение объекта в единый реестр и допустимое обозначение категории.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Проверить подачу уведомления о начале соответствующего вида деятельности до фактического оказания услуг.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 профильным специалистом определить применимые требования пожарной безопасности и необходимость декларации для объекта.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Собрать применимые санитарные, пищевые, водные, отходные и производственные контуры с ответственными и журналами.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Проверить доступность для маломобильных гостей в проекте, оснащении, информации и операционных процедурах.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Определить оператора персональных данных, состав обработок, основания, локальные документы, доступы и применимость уведомления Роскомнадзора.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Проверить договоры с гостем, правила размещения, обязательную информацию, возвраты и порядок работы с претензиями.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Для дополнительных услуг отдельно проверить применимые лицензии, уведомления и требования.</w:t>
      </w:r>
    </w:p>
    <w:p>
      <w:pPr>
        <w:keepNext w:val="0"/>
        <w:widowControl/>
        <w:spacing w:before="80" w:after="160" w:line="288" w:lineRule="auto"/>
        <w:ind w:left="259" w:right="115"/>
        <w:shd w:fill="F4F6F9"/>
        <w:pBdr>
          <w:left w:val="single" w:sz="18" w:space="6" w:color="2E74B5"/>
        </w:pBdr>
      </w:pPr>
      <w:r>
        <w:rPr>
          <w:rFonts w:ascii="Calibri" w:hAnsi="Calibri" w:eastAsia="Calibri" w:cs="Calibri"/>
          <w:b/>
          <w:i w:val="0"/>
          <w:color w:val="0B2545"/>
          <w:sz w:val="21"/>
        </w:rPr>
        <w:t xml:space="preserve">Результат этапа. </w:t>
      </w:r>
      <w:r>
        <w:rPr>
          <w:rFonts w:ascii="Calibri" w:hAnsi="Calibri" w:eastAsia="Calibri" w:cs="Calibri"/>
          <w:b w:val="0"/>
          <w:i w:val="0"/>
          <w:color w:val="20262D"/>
          <w:sz w:val="21"/>
        </w:rPr>
        <w:t>Матрица обязательных требований: требование, применимость, документ или действие, владелец, срок и доказательство выполнения.</w:t>
      </w:r>
    </w:p>
    <w:p>
      <w:pPr>
        <w:keepNext/>
        <w:widowControl/>
        <w:spacing w:before="0" w:after="100" w:line="240" w:lineRule="auto"/>
      </w:pPr>
      <w:r>
        <w:rPr>
          <w:rFonts w:ascii="Calibri" w:hAnsi="Calibri" w:eastAsia="Calibri" w:cs="Calibri"/>
          <w:b/>
          <w:i w:val="0"/>
          <w:color w:val="C8102E"/>
          <w:sz w:val="18"/>
        </w:rPr>
        <w:t>ЭТАП 07</w:t>
      </w:r>
    </w:p>
    <w:p>
      <w:pPr>
        <w:pStyle w:val="Heading1"/>
        <w:pageBreakBefore w:val="0"/>
      </w:pPr>
      <w:r>
        <w:t>Оператор, команда, системы и продажи</w:t>
      </w:r>
    </w:p>
    <w:p>
      <w:pPr>
        <w:keepNext w:val="0"/>
        <w:widowControl/>
        <w:spacing w:before="0" w:after="180" w:line="300" w:lineRule="auto"/>
      </w:pPr>
      <w:r>
        <w:rPr>
          <w:rFonts w:ascii="Calibri" w:hAnsi="Calibri" w:eastAsia="Calibri" w:cs="Calibri"/>
          <w:b w:val="0"/>
          <w:i/>
          <w:color w:val="5E6670"/>
          <w:sz w:val="21"/>
        </w:rPr>
        <w:t>Запустить операционную систему раньше первых гостей и сохранить контроль собственника над данными.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Зафиксировать модель управления, полномочия оператора, решения собственника, отчётность и порядок выхода из договора.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Назначить руководителя предэксплуатационного периода и владельцев коммерческого, операционного и технического контуров.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Составить план найма, обучения, допусков, смен и резервирования критичных ролей.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Настроить PMS, продажи, сайт, платежи, учёт, телефонию, замки и интеграции; оформить владельцев доступов.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Собрать тарифы, ограничения, контент, договоры каналов и календарь открытия продаж.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Утвердить стандарты бронирования, заезда, уборки, завтрака, технических заявок, инцидентов и возвратов.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Подготовить закупки, запасы, договоры поставщиков, сервисные уровни и запасной маршрут по критичным позициям.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Настроить ежедневный отчёт по загрузке, ADR, RevPAR, выручке, платежам, инцидентам и готовности номерного фонда.</w:t>
      </w:r>
    </w:p>
    <w:p>
      <w:pPr>
        <w:keepNext w:val="0"/>
        <w:widowControl/>
        <w:spacing w:before="80" w:after="160" w:line="288" w:lineRule="auto"/>
        <w:ind w:left="259" w:right="115"/>
        <w:shd w:fill="F4F6F9"/>
        <w:pBdr>
          <w:left w:val="single" w:sz="18" w:space="6" w:color="2E74B5"/>
        </w:pBdr>
      </w:pPr>
      <w:r>
        <w:rPr>
          <w:rFonts w:ascii="Calibri" w:hAnsi="Calibri" w:eastAsia="Calibri" w:cs="Calibri"/>
          <w:b/>
          <w:i w:val="0"/>
          <w:color w:val="0B2545"/>
          <w:sz w:val="21"/>
        </w:rPr>
        <w:t xml:space="preserve">Результат этапа. </w:t>
      </w:r>
      <w:r>
        <w:rPr>
          <w:rFonts w:ascii="Calibri" w:hAnsi="Calibri" w:eastAsia="Calibri" w:cs="Calibri"/>
          <w:b w:val="0"/>
          <w:i w:val="0"/>
          <w:color w:val="20262D"/>
          <w:sz w:val="21"/>
        </w:rPr>
        <w:t>Предэксплуатационный план с владельцами, сроками, доступами, регламентами и контрольной отчётностью собственнику.</w:t>
      </w:r>
    </w:p>
    <w:p>
      <w:pPr>
        <w:keepNext/>
        <w:widowControl/>
        <w:spacing w:before="0" w:after="100" w:line="240" w:lineRule="auto"/>
      </w:pPr>
      <w:r>
        <w:rPr>
          <w:rFonts w:ascii="Calibri" w:hAnsi="Calibri" w:eastAsia="Calibri" w:cs="Calibri"/>
          <w:b/>
          <w:i w:val="0"/>
          <w:color w:val="C8102E"/>
          <w:sz w:val="18"/>
        </w:rPr>
        <w:t>ЭТАП 08</w:t>
      </w:r>
    </w:p>
    <w:p>
      <w:pPr>
        <w:pStyle w:val="Heading1"/>
        <w:pageBreakBefore w:val="0"/>
      </w:pPr>
      <w:r>
        <w:t>Пробный запуск и первые 30 дней</w:t>
      </w:r>
    </w:p>
    <w:p>
      <w:pPr>
        <w:keepNext w:val="0"/>
        <w:widowControl/>
        <w:spacing w:before="0" w:after="180" w:line="300" w:lineRule="auto"/>
      </w:pPr>
      <w:r>
        <w:rPr>
          <w:rFonts w:ascii="Calibri" w:hAnsi="Calibri" w:eastAsia="Calibri" w:cs="Calibri"/>
          <w:b w:val="0"/>
          <w:i/>
          <w:color w:val="5E6670"/>
          <w:sz w:val="21"/>
        </w:rPr>
        <w:t>Считать открытие управляемым периодом проверки, а не одной рекламной датой.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Провести техническую приёмку номера, общественных и служебных зон по повторяемому сценарию.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Проверить путь бронирования, оплату, заезд, проживание, обращение гостя, выезд и закрывающие документы.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Провести пробные заезды с ограниченной загрузкой и зафиксировать замечания по владельцам и срокам.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Определить максимальную безопасную загрузку на каждый этап запуска и условия её повышения.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Настроить ежедневный разбор отклонений по продукту, людям, системам, продажам и финансам.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Сверить фактические ADR, RevPAR, расходы и темп продаж с моделью без преждевременного вывода по короткому периоду.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Обновить регламенты, бюджет, прогноз и план устранения дефектов по итогам первых недель.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Зафиксировать пакет передачи из проекта в постоянное управление и владельцев незакрытых обязательств.</w:t>
      </w:r>
    </w:p>
    <w:p>
      <w:pPr>
        <w:keepNext w:val="0"/>
        <w:widowControl/>
        <w:spacing w:before="80" w:after="160" w:line="288" w:lineRule="auto"/>
        <w:ind w:left="259" w:right="115"/>
        <w:shd w:fill="F4F6F9"/>
        <w:pBdr>
          <w:left w:val="single" w:sz="18" w:space="6" w:color="2E74B5"/>
        </w:pBdr>
      </w:pPr>
      <w:r>
        <w:rPr>
          <w:rFonts w:ascii="Calibri" w:hAnsi="Calibri" w:eastAsia="Calibri" w:cs="Calibri"/>
          <w:b/>
          <w:i w:val="0"/>
          <w:color w:val="0B2545"/>
          <w:sz w:val="21"/>
        </w:rPr>
        <w:t xml:space="preserve">Результат этапа. </w:t>
      </w:r>
      <w:r>
        <w:rPr>
          <w:rFonts w:ascii="Calibri" w:hAnsi="Calibri" w:eastAsia="Calibri" w:cs="Calibri"/>
          <w:b w:val="0"/>
          <w:i w:val="0"/>
          <w:color w:val="20262D"/>
          <w:sz w:val="21"/>
        </w:rPr>
        <w:t>Протокол допуска к рабочему режиму, реестр незакрытых задач и обновлённый операционный прогноз.</w:t>
      </w:r>
    </w:p>
    <w:p>
      <w:pPr>
        <w:pStyle w:val="Heading1"/>
        <w:pageBreakBefore w:val="0"/>
      </w:pPr>
      <w:r>
        <w:t>Папка проекта перед открытием</w:t>
      </w:r>
    </w:p>
    <w:p>
      <w:pPr>
        <w:keepNext w:val="0"/>
        <w:widowControl/>
        <w:spacing w:before="0" w:after="160" w:line="300" w:lineRule="auto"/>
      </w:pPr>
      <w:r>
        <w:rPr>
          <w:rFonts w:ascii="Calibri" w:hAnsi="Calibri" w:eastAsia="Calibri" w:cs="Calibri"/>
          <w:b w:val="0"/>
          <w:i w:val="0"/>
          <w:color w:val="5E6670"/>
          <w:sz w:val="21"/>
        </w:rPr>
        <w:t>Структура папки должна показывать не только наличие файлов, но и актуальную версию, владельца и связь документа с решением.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01_Инвестиционная_задача и протоколы Go / No-Go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02_Объект_права_ограничения и исходные данные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03_Рынок_концепция_гостиничная_программа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04_Финансовая_модель_бюджет_график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05_Проект_изменения_исполнительная_документация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06_Обязательные_контуры и доказательства применимости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07_Оператор_команда_системы_регламенты</w:t>
      </w:r>
    </w:p>
    <w:p>
      <w:pPr>
        <w:keepNext w:val="0"/>
        <w:widowControl/>
        <w:spacing w:before="0" w:after="80" w:line="300" w:lineRule="auto"/>
        <w:numPr>
          <w:ilvl w:val="0"/>
          <w:numId w:val="10"/>
        </w:numPr>
      </w:pPr>
      <w:r>
        <w:rPr>
          <w:rFonts w:ascii="Calibri" w:hAnsi="Calibri" w:eastAsia="Calibri" w:cs="Calibri"/>
          <w:b w:val="0"/>
          <w:i w:val="0"/>
          <w:color w:val="20262D"/>
          <w:sz w:val="21"/>
        </w:rPr>
        <w:t>08_Пробный_запуск_замечания_передача</w:t>
      </w:r>
    </w:p>
    <w:p>
      <w:pPr>
        <w:pStyle w:val="Heading1"/>
        <w:pageBreakBefore w:val="0"/>
      </w:pPr>
      <w:r>
        <w:t>Официальные источники для актуализации</w:t>
      </w:r>
    </w:p>
    <w:p>
      <w:pPr>
        <w:keepNext w:val="0"/>
        <w:widowControl/>
        <w:spacing w:before="0" w:after="180" w:line="300" w:lineRule="auto"/>
      </w:pPr>
      <w:r>
        <w:rPr>
          <w:rFonts w:ascii="Calibri" w:hAnsi="Calibri" w:eastAsia="Calibri" w:cs="Calibri"/>
          <w:b w:val="0"/>
          <w:i w:val="0"/>
          <w:color w:val="5E6670"/>
          <w:sz w:val="21"/>
        </w:rPr>
        <w:t>Проверено 30 июля 2026. Перед использованием откройте актуальную редакцию и проверьте применимость к объекту, формату и региону.</w:t>
      </w:r>
    </w:p>
    <w:p>
      <w:pPr>
        <w:keepNext w:val="0"/>
        <w:widowControl/>
        <w:spacing w:before="0" w:after="100" w:line="288" w:lineRule="auto"/>
      </w:pPr>
      <w:hyperlink r:id="rId11">
        <w:r>
          <w:rPr>
            <w:rFonts w:ascii="Calibri" w:hAnsi="Calibri"/>
            <w:color w:val="2E74B5"/>
            <w:u w:val="single"/>
            <w:sz w:val="20"/>
          </w:rPr>
          <w:t>Постановление Правительства РФ от 27.12.2024 N 1951 - Положение о классификации средств размещения</w:t>
        </w:r>
      </w:hyperlink>
    </w:p>
    <w:p>
      <w:pPr>
        <w:keepNext w:val="0"/>
        <w:widowControl/>
        <w:spacing w:before="0" w:after="100" w:line="288" w:lineRule="auto"/>
      </w:pPr>
      <w:hyperlink r:id="rId12">
        <w:r>
          <w:rPr>
            <w:rFonts w:ascii="Calibri" w:hAnsi="Calibri"/>
            <w:color w:val="2E74B5"/>
            <w:u w:val="single"/>
            <w:sz w:val="20"/>
          </w:rPr>
          <w:t>Постановление Правительства РФ от 27.12.2024 N 1952 - правила классификации и единого реестра</w:t>
        </w:r>
      </w:hyperlink>
    </w:p>
    <w:p>
      <w:pPr>
        <w:keepNext w:val="0"/>
        <w:widowControl/>
        <w:spacing w:before="0" w:after="100" w:line="288" w:lineRule="auto"/>
      </w:pPr>
      <w:hyperlink r:id="rId13">
        <w:r>
          <w:rPr>
            <w:rFonts w:ascii="Calibri" w:hAnsi="Calibri"/>
            <w:color w:val="2E74B5"/>
            <w:u w:val="single"/>
            <w:sz w:val="20"/>
          </w:rPr>
          <w:t>Единый реестр объектов классификации в сфере туристской индустрии</w:t>
        </w:r>
      </w:hyperlink>
    </w:p>
    <w:p>
      <w:pPr>
        <w:keepNext w:val="0"/>
        <w:widowControl/>
        <w:spacing w:before="0" w:after="100" w:line="288" w:lineRule="auto"/>
      </w:pPr>
      <w:hyperlink r:id="rId14">
        <w:r>
          <w:rPr>
            <w:rFonts w:ascii="Calibri" w:hAnsi="Calibri"/>
            <w:color w:val="2E74B5"/>
            <w:u w:val="single"/>
            <w:sz w:val="20"/>
          </w:rPr>
          <w:t>Постановление Правительства РФ от 18.11.2020 N 1853 - правила предоставления гостиничных услуг</w:t>
        </w:r>
      </w:hyperlink>
    </w:p>
    <w:p>
      <w:pPr>
        <w:keepNext w:val="0"/>
        <w:widowControl/>
        <w:spacing w:before="0" w:after="100" w:line="288" w:lineRule="auto"/>
      </w:pPr>
      <w:hyperlink r:id="rId15">
        <w:r>
          <w:rPr>
            <w:rFonts w:ascii="Calibri" w:hAnsi="Calibri"/>
            <w:color w:val="2E74B5"/>
            <w:u w:val="single"/>
            <w:sz w:val="20"/>
          </w:rPr>
          <w:t>Роспотребнадзор - порядок уведомления о начале отдельных видов деятельности</w:t>
        </w:r>
      </w:hyperlink>
    </w:p>
    <w:p>
      <w:pPr>
        <w:keepNext w:val="0"/>
        <w:widowControl/>
        <w:spacing w:before="0" w:after="100" w:line="288" w:lineRule="auto"/>
      </w:pPr>
      <w:hyperlink r:id="rId16">
        <w:r>
          <w:rPr>
            <w:rFonts w:ascii="Calibri" w:hAnsi="Calibri"/>
            <w:color w:val="2E74B5"/>
            <w:u w:val="single"/>
            <w:sz w:val="20"/>
          </w:rPr>
          <w:t>МЧС России - регистрация деклараций пожарной безопасности</w:t>
        </w:r>
      </w:hyperlink>
    </w:p>
    <w:p>
      <w:pPr>
        <w:keepNext w:val="0"/>
        <w:widowControl/>
        <w:spacing w:before="0" w:after="100" w:line="288" w:lineRule="auto"/>
      </w:pPr>
      <w:hyperlink r:id="rId17">
        <w:r>
          <w:rPr>
            <w:rFonts w:ascii="Calibri" w:hAnsi="Calibri"/>
            <w:color w:val="2E74B5"/>
            <w:u w:val="single"/>
            <w:sz w:val="20"/>
          </w:rPr>
          <w:t>Роскомнадзор - сведения для операторов персональных данных</w:t>
        </w:r>
      </w:hyperlink>
    </w:p>
    <w:p>
      <w:pPr>
        <w:keepNext w:val="0"/>
        <w:widowControl/>
        <w:spacing w:before="0" w:after="100" w:line="288" w:lineRule="auto"/>
      </w:pPr>
      <w:hyperlink r:id="rId18">
        <w:r>
          <w:rPr>
            <w:rFonts w:ascii="Calibri" w:hAnsi="Calibri"/>
            <w:color w:val="2E74B5"/>
            <w:u w:val="single"/>
            <w:sz w:val="20"/>
          </w:rPr>
          <w:t>ФНС России - государственная регистрация бизнеса</w:t>
        </w:r>
      </w:hyperlink>
    </w:p>
    <w:p>
      <w:pPr>
        <w:keepNext w:val="0"/>
        <w:widowControl/>
        <w:spacing w:before="80" w:after="160" w:line="288" w:lineRule="auto"/>
        <w:ind w:left="259" w:right="115"/>
        <w:shd w:fill="E8EEF5"/>
        <w:pBdr>
          <w:left w:val="single" w:sz="18" w:space="6" w:color="2E74B5"/>
        </w:pBdr>
      </w:pPr>
      <w:r>
        <w:rPr>
          <w:rFonts w:ascii="Calibri" w:hAnsi="Calibri" w:eastAsia="Calibri" w:cs="Calibri"/>
          <w:b/>
          <w:i w:val="0"/>
          <w:color w:val="0B2545"/>
          <w:sz w:val="21"/>
        </w:rPr>
        <w:t xml:space="preserve">Следующий шаг. </w:t>
      </w:r>
      <w:r>
        <w:rPr>
          <w:rFonts w:ascii="Calibri" w:hAnsi="Calibri" w:eastAsia="Calibri" w:cs="Calibri"/>
          <w:b w:val="0"/>
          <w:i w:val="0"/>
          <w:color w:val="20262D"/>
          <w:sz w:val="21"/>
        </w:rPr>
        <w:t>Если объект уже выбран, начните с независимой оценки допустимости, спроса и экономики. Это дешевле, чем уточнять концепцию после проектирования или стройки.</w:t>
      </w:r>
    </w:p>
    <w:p>
      <w:pPr>
        <w:keepNext w:val="0"/>
        <w:widowControl/>
        <w:spacing w:before="0" w:after="80" w:line="300" w:lineRule="auto"/>
      </w:pPr>
      <w:r>
        <w:rPr>
          <w:rFonts w:ascii="Calibri" w:hAnsi="Calibri" w:eastAsia="Calibri" w:cs="Calibri"/>
          <w:b/>
          <w:i w:val="0"/>
          <w:color w:val="0B2545"/>
          <w:sz w:val="21"/>
        </w:rPr>
        <w:t xml:space="preserve">Оценка гостиничного проекта: </w:t>
      </w:r>
      <w:hyperlink r:id="rId19">
        <w:r>
          <w:rPr>
            <w:rFonts w:ascii="Calibri" w:hAnsi="Calibri"/>
            <w:color w:val="2E74B5"/>
            <w:u w:val="single"/>
            <w:sz w:val="20"/>
          </w:rPr>
          <w:t>перейти к оценке проекта</w:t>
        </w:r>
      </w:hyperlink>
    </w:p>
    <w:p>
      <w:pPr>
        <w:keepNext w:val="0"/>
        <w:widowControl/>
        <w:spacing w:before="0" w:after="80" w:line="300" w:lineRule="auto"/>
      </w:pPr>
      <w:r>
        <w:rPr>
          <w:rFonts w:ascii="Calibri" w:hAnsi="Calibri" w:eastAsia="Calibri" w:cs="Calibri"/>
          <w:b/>
          <w:i w:val="0"/>
          <w:color w:val="0B2545"/>
          <w:sz w:val="21"/>
        </w:rPr>
        <w:t xml:space="preserve">Полный маршрут открытия: </w:t>
      </w:r>
      <w:hyperlink r:id="rId20">
        <w:r>
          <w:rPr>
            <w:rFonts w:ascii="Calibri" w:hAnsi="Calibri"/>
            <w:color w:val="2E74B5"/>
            <w:u w:val="single"/>
            <w:sz w:val="20"/>
          </w:rPr>
          <w:t>открыть маршрут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widowControl/>
      <w:spacing w:before="0" w:after="0" w:line="240" w:lineRule="auto"/>
      <w:jc w:val="right"/>
    </w:pPr>
    <w:r>
      <w:rPr>
        <w:rFonts w:ascii="Calibri" w:hAnsi="Calibri" w:eastAsia="Calibri" w:cs="Calibri"/>
        <w:b w:val="0"/>
        <w:i w:val="0"/>
        <w:color w:val="5E6670"/>
        <w:sz w:val="18"/>
      </w:rPr>
      <w:t xml:space="preserve">Стр.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widowControl/>
      <w:spacing w:before="0" w:after="0" w:line="240" w:lineRule="auto"/>
    </w:pPr>
    <w:r>
      <w:rPr>
        <w:rFonts w:ascii="Calibri" w:hAnsi="Calibri" w:eastAsia="Calibri" w:cs="Calibri"/>
        <w:b w:val="0"/>
        <w:i w:val="0"/>
        <w:color w:val="5E6670"/>
        <w:sz w:val="17"/>
      </w:rPr>
      <w:t>Чек-лист открытия гостиницы | Raido Capital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☐"/>
      <w:lvlJc w:val="left"/>
      <w:pPr>
        <w:tabs>
          <w:tab w:val="num" w:pos="540"/>
        </w:tabs>
        <w:ind w:left="540" w:hanging="270"/>
        <w:spacing w:after="80" w:line="300" w:lineRule="auto"/>
      </w:pPr>
      <w:rPr>
        <w:rFonts w:ascii="DejaVu Sans" w:hAnsi="DejaVu Sans"/>
        <w:color w:val="C8102E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spacing w:before="0" w:after="120" w:line="300" w:lineRule="auto"/>
    </w:pPr>
    <w:rPr>
      <w:rFonts w:ascii="Calibri" w:hAnsi="Calibri" w:eastAsia="Calibri"/>
      <w:b w:val="0"/>
      <w:color w:val="20262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 w:eastAsia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publication.pravo.gov.ru/document/0001202412310014" TargetMode="External"/><Relationship Id="rId12" Type="http://schemas.openxmlformats.org/officeDocument/2006/relationships/hyperlink" Target="https://publication.pravo.gov.ru/document/0001202412310009" TargetMode="External"/><Relationship Id="rId13" Type="http://schemas.openxmlformats.org/officeDocument/2006/relationships/hyperlink" Target="https://tourism.fsa.gov.ru/ru/main" TargetMode="External"/><Relationship Id="rId14" Type="http://schemas.openxmlformats.org/officeDocument/2006/relationships/hyperlink" Target="https://publication.pravo.gov.ru/Document/View/0001202011200034" TargetMode="External"/><Relationship Id="rId15" Type="http://schemas.openxmlformats.org/officeDocument/2006/relationships/hyperlink" Target="https://04.rospotrebnadzor.ru/index.php/component/content/article/45-licanz-otdel/19852-05022025.pdf" TargetMode="External"/><Relationship Id="rId16" Type="http://schemas.openxmlformats.org/officeDocument/2006/relationships/hyperlink" Target="https://mchs.gov.ru/deyatelnost/uslugi/registraciya-deklaraciy-pozharnoy-bezopasnosti" TargetMode="External"/><Relationship Id="rId17" Type="http://schemas.openxmlformats.org/officeDocument/2006/relationships/hyperlink" Target="https://82.rkn.gov.ru/directions/pers/p15375/" TargetMode="External"/><Relationship Id="rId18" Type="http://schemas.openxmlformats.org/officeDocument/2006/relationships/hyperlink" Target="https://www.nalog.gov.ru/create_business/ip/creation/registration/" TargetMode="External"/><Relationship Id="rId19" Type="http://schemas.openxmlformats.org/officeDocument/2006/relationships/hyperlink" Target="https://raidocapital.ru/services/otsenka-proekta" TargetMode="External"/><Relationship Id="rId20" Type="http://schemas.openxmlformats.org/officeDocument/2006/relationships/hyperlink" Target="https://raidocapital.ru/otkryt-o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Чек-лист открытия гостиницы</dc:title>
  <dc:subject>Рабочая карта инвестора и собственника от идеи до первых гостей</dc:subject>
  <dc:creator>Raido Capital</dc:creator>
  <cp:keywords>открытие гостиницы, чек-лист, документы, инвестор, оператор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